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Rapportage indirecte subsidies -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en CDA - Aamendement reserve verduurzamen van Hardinxveld-Giessendam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Amendement sparen voor later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op raadsvoorstel intrekking en buitenwerkingstelling beleid agv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mendementen/Amendement-Rapportage-indirecte-subsidies-unaniem-aangenomen-1.pdf" TargetMode="External" /><Relationship Id="rId26" Type="http://schemas.openxmlformats.org/officeDocument/2006/relationships/hyperlink" Target="https://raad.hardinxveld-giessendam.nl/documenten/Amendementen/PvdA-en-CDA-Aamendement-reserve-verduurzamen-van-Hardinxveld-Giessendam-verworpen.pdf" TargetMode="External" /><Relationship Id="rId27" Type="http://schemas.openxmlformats.org/officeDocument/2006/relationships/hyperlink" Target="https://raad.hardinxveld-giessendam.nl/documenten/Amendementen/ChristenUnie-Amendement-sparen-voor-later-verworpen.pdf" TargetMode="External" /><Relationship Id="rId28" Type="http://schemas.openxmlformats.org/officeDocument/2006/relationships/hyperlink" Target="https://raad.hardinxveld-giessendam.nl/documenten/Amendementen/VERWORPEN-Amendement-op-raadsvoorstel-intrekking-en-buitenwerkingstelling-beleid-agv-M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